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17E8" w:rsidRDefault="007E17E8">
      <w:pPr>
        <w:rPr>
          <w:rFonts w:ascii="Franklin Gothic Book" w:hAnsi="Franklin Gothic Book"/>
          <w:b/>
          <w:bCs/>
        </w:rPr>
      </w:pPr>
      <w:bookmarkStart w:id="0" w:name="_Hlk46991095"/>
      <w:bookmarkEnd w:id="0"/>
    </w:p>
    <w:p w:rsidR="007E17E8" w:rsidRPr="007E17E8" w:rsidRDefault="0061392D" w:rsidP="0061392D">
      <w:pPr>
        <w:jc w:val="center"/>
        <w:rPr>
          <w:rFonts w:ascii="Franklin Gothic Book" w:hAnsi="Franklin Gothic Book"/>
          <w:b/>
          <w:bCs/>
        </w:rPr>
      </w:pPr>
      <w:r>
        <w:rPr>
          <w:rFonts w:ascii="Franklin Gothic Book" w:hAnsi="Franklin Gothic Book"/>
          <w:b/>
          <w:bCs/>
        </w:rPr>
        <w:t xml:space="preserve">DETALJNIJE </w:t>
      </w:r>
      <w:r w:rsidRPr="007E17E8">
        <w:rPr>
          <w:rFonts w:ascii="Franklin Gothic Book" w:hAnsi="Franklin Gothic Book"/>
          <w:b/>
          <w:bCs/>
        </w:rPr>
        <w:t>OBRAZLOŽENJE OPTUŽBI GOSP. MARIA ŠVEGOVIĆA</w:t>
      </w:r>
    </w:p>
    <w:p w:rsidR="007E17E8" w:rsidRDefault="007E17E8">
      <w:pPr>
        <w:rPr>
          <w:rFonts w:ascii="Franklin Gothic Book" w:hAnsi="Franklin Gothic Book"/>
        </w:rPr>
      </w:pPr>
    </w:p>
    <w:p w:rsidR="00DD58C9" w:rsidRDefault="00DD58C9">
      <w:pPr>
        <w:rPr>
          <w:rFonts w:ascii="Franklin Gothic Book" w:hAnsi="Franklin Gothic Book"/>
        </w:rPr>
      </w:pPr>
    </w:p>
    <w:p w:rsidR="0061392D" w:rsidRDefault="0061392D">
      <w:pPr>
        <w:rPr>
          <w:rFonts w:ascii="Franklin Gothic Book" w:hAnsi="Franklin Gothic Book"/>
        </w:rPr>
      </w:pPr>
    </w:p>
    <w:p w:rsidR="00E83FFE" w:rsidRDefault="00E83FFE" w:rsidP="00E12BBC">
      <w:pPr>
        <w:pStyle w:val="Odlomakpopisa"/>
        <w:numPr>
          <w:ilvl w:val="0"/>
          <w:numId w:val="1"/>
        </w:numPr>
        <w:jc w:val="both"/>
        <w:rPr>
          <w:rFonts w:ascii="Franklin Gothic Book" w:hAnsi="Franklin Gothic Book"/>
        </w:rPr>
      </w:pPr>
      <w:r>
        <w:rPr>
          <w:rFonts w:ascii="Franklin Gothic Book" w:hAnsi="Franklin Gothic Book"/>
        </w:rPr>
        <w:t xml:space="preserve">Dozvolom za gospodarenje otpadom iz prosinca 2017. odobren je kapacitet IV plohe u iznosu od </w:t>
      </w:r>
      <w:r w:rsidRPr="0061392D">
        <w:rPr>
          <w:rFonts w:ascii="Franklin Gothic Book" w:hAnsi="Franklin Gothic Book"/>
          <w:b/>
        </w:rPr>
        <w:t>419.500 tona</w:t>
      </w:r>
      <w:r w:rsidR="007E17E8">
        <w:rPr>
          <w:rFonts w:ascii="Franklin Gothic Book" w:hAnsi="Franklin Gothic Book"/>
        </w:rPr>
        <w:t>, a odlaganje na IV plohi započelo je 01.01.2018.</w:t>
      </w:r>
    </w:p>
    <w:p w:rsidR="007E17E8" w:rsidRDefault="007E17E8" w:rsidP="007E17E8">
      <w:pPr>
        <w:pStyle w:val="Odlomakpopisa"/>
        <w:jc w:val="both"/>
        <w:rPr>
          <w:rFonts w:ascii="Franklin Gothic Book" w:hAnsi="Franklin Gothic Book"/>
        </w:rPr>
      </w:pPr>
    </w:p>
    <w:p w:rsidR="0061392D" w:rsidRDefault="00E83FFE" w:rsidP="0061392D">
      <w:pPr>
        <w:pStyle w:val="Odlomakpopisa"/>
        <w:numPr>
          <w:ilvl w:val="0"/>
          <w:numId w:val="1"/>
        </w:numPr>
        <w:jc w:val="both"/>
        <w:rPr>
          <w:rFonts w:ascii="Franklin Gothic Book" w:hAnsi="Franklin Gothic Book"/>
        </w:rPr>
      </w:pPr>
      <w:r>
        <w:rPr>
          <w:rFonts w:ascii="Franklin Gothic Book" w:hAnsi="Franklin Gothic Book"/>
        </w:rPr>
        <w:t>Dozvolom za gospodarenje otpadom iz prosinca 2017. godine propisan je koeficijent zbijenosti od 1,25</w:t>
      </w:r>
    </w:p>
    <w:p w:rsidR="0061392D" w:rsidRDefault="0061392D" w:rsidP="0061392D">
      <w:pPr>
        <w:jc w:val="both"/>
        <w:rPr>
          <w:rFonts w:ascii="Franklin Gothic Book" w:hAnsi="Franklin Gothic Book"/>
        </w:rPr>
      </w:pPr>
    </w:p>
    <w:p w:rsidR="0061392D" w:rsidRPr="0061392D" w:rsidRDefault="0061392D" w:rsidP="0061392D">
      <w:pPr>
        <w:jc w:val="both"/>
        <w:rPr>
          <w:rFonts w:ascii="Franklin Gothic Book" w:hAnsi="Franklin Gothic Book"/>
        </w:rPr>
      </w:pPr>
    </w:p>
    <w:p w:rsidR="00E83FFE" w:rsidRDefault="00E83FFE" w:rsidP="00E12BBC">
      <w:pPr>
        <w:jc w:val="both"/>
        <w:rPr>
          <w:rFonts w:ascii="Franklin Gothic Book" w:hAnsi="Franklin Gothic Book"/>
        </w:rPr>
      </w:pPr>
      <w:r>
        <w:rPr>
          <w:rFonts w:ascii="Franklin Gothic Book" w:hAnsi="Franklin Gothic Book"/>
        </w:rPr>
        <w:t xml:space="preserve">Iz ovoga </w:t>
      </w:r>
      <w:r w:rsidR="007E17E8">
        <w:rPr>
          <w:rFonts w:ascii="Franklin Gothic Book" w:hAnsi="Franklin Gothic Book"/>
        </w:rPr>
        <w:t>gosp. Š</w:t>
      </w:r>
      <w:r>
        <w:rPr>
          <w:rFonts w:ascii="Franklin Gothic Book" w:hAnsi="Franklin Gothic Book"/>
        </w:rPr>
        <w:t xml:space="preserve">vegović zaključuje da naš podatak o </w:t>
      </w:r>
      <w:r w:rsidR="007E17E8">
        <w:rPr>
          <w:rFonts w:ascii="Franklin Gothic Book" w:hAnsi="Franklin Gothic Book"/>
        </w:rPr>
        <w:t xml:space="preserve">procijenjenom </w:t>
      </w:r>
      <w:r>
        <w:rPr>
          <w:rFonts w:ascii="Franklin Gothic Book" w:hAnsi="Franklin Gothic Book"/>
        </w:rPr>
        <w:t xml:space="preserve">preostalom kapacitetu na dan 31.12.2019. godine od </w:t>
      </w:r>
      <w:r w:rsidRPr="007D1E8E">
        <w:rPr>
          <w:rFonts w:ascii="Franklin Gothic Book" w:hAnsi="Franklin Gothic Book"/>
        </w:rPr>
        <w:t>129.246 tona</w:t>
      </w:r>
      <w:r>
        <w:rPr>
          <w:rFonts w:ascii="Franklin Gothic Book" w:hAnsi="Franklin Gothic Book"/>
        </w:rPr>
        <w:t xml:space="preserve"> nije točan, jer je odlaganje na IV plohi započelo 01.01.2018. i od tada do 31.12.2019. ukupno je odloženo 91.301</w:t>
      </w:r>
      <w:r w:rsidR="00943225">
        <w:rPr>
          <w:rFonts w:ascii="Franklin Gothic Book" w:hAnsi="Franklin Gothic Book"/>
        </w:rPr>
        <w:t xml:space="preserve"> tona, pa bi prema navedenoj Dozvoli preostali kapacitet trebao iznositi (419.500 – 91.301</w:t>
      </w:r>
      <w:r w:rsidR="007E17E8">
        <w:rPr>
          <w:rFonts w:ascii="Franklin Gothic Book" w:hAnsi="Franklin Gothic Book"/>
        </w:rPr>
        <w:t>)</w:t>
      </w:r>
      <w:r w:rsidR="00943225">
        <w:rPr>
          <w:rFonts w:ascii="Franklin Gothic Book" w:hAnsi="Franklin Gothic Book"/>
        </w:rPr>
        <w:t xml:space="preserve"> 328.199 tona. Prema </w:t>
      </w:r>
      <w:r w:rsidR="007E17E8">
        <w:rPr>
          <w:rFonts w:ascii="Franklin Gothic Book" w:hAnsi="Franklin Gothic Book"/>
        </w:rPr>
        <w:t>gosp. Š</w:t>
      </w:r>
      <w:r w:rsidR="00943225">
        <w:rPr>
          <w:rFonts w:ascii="Franklin Gothic Book" w:hAnsi="Franklin Gothic Book"/>
        </w:rPr>
        <w:t>vegoviću nedostaje slobodni kapacitet od 198.953 tone.</w:t>
      </w:r>
    </w:p>
    <w:p w:rsidR="006323DA" w:rsidRDefault="006323DA" w:rsidP="00E12BBC">
      <w:pPr>
        <w:jc w:val="both"/>
        <w:rPr>
          <w:rFonts w:ascii="Franklin Gothic Book" w:hAnsi="Franklin Gothic Book"/>
        </w:rPr>
      </w:pPr>
      <w:r>
        <w:rPr>
          <w:rFonts w:ascii="Franklin Gothic Book" w:hAnsi="Franklin Gothic Book"/>
        </w:rPr>
        <w:t xml:space="preserve">Na osnovu zaključka da </w:t>
      </w:r>
      <w:r w:rsidR="007E17E8">
        <w:rPr>
          <w:rFonts w:ascii="Franklin Gothic Book" w:hAnsi="Franklin Gothic Book"/>
        </w:rPr>
        <w:t>D</w:t>
      </w:r>
      <w:r>
        <w:rPr>
          <w:rFonts w:ascii="Franklin Gothic Book" w:hAnsi="Franklin Gothic Book"/>
        </w:rPr>
        <w:t>ozvola navodi koeficijent zbijenosti 1,25 i koju je uprava dužna primjenjivati</w:t>
      </w:r>
      <w:r w:rsidR="00DD58C9">
        <w:rPr>
          <w:rFonts w:ascii="Franklin Gothic Book" w:hAnsi="Franklin Gothic Book"/>
        </w:rPr>
        <w:t>,</w:t>
      </w:r>
      <w:r>
        <w:rPr>
          <w:rFonts w:ascii="Franklin Gothic Book" w:hAnsi="Franklin Gothic Book"/>
        </w:rPr>
        <w:t xml:space="preserve"> osnova je za njegovu optužbu da je u radu odlagališta napravljena šteta od preko 13.000.000 kn i to na slijedeći način:</w:t>
      </w:r>
    </w:p>
    <w:p w:rsidR="006323DA" w:rsidRDefault="006323DA" w:rsidP="00E12BBC">
      <w:pPr>
        <w:jc w:val="both"/>
        <w:rPr>
          <w:rFonts w:ascii="Franklin Gothic Book" w:hAnsi="Franklin Gothic Book"/>
        </w:rPr>
      </w:pPr>
      <w:r>
        <w:rPr>
          <w:rFonts w:ascii="Franklin Gothic Book" w:hAnsi="Franklin Gothic Book"/>
        </w:rPr>
        <w:t xml:space="preserve">Izmjereni volumen od 112.700 m3 otpada na IV plohi množi sa 1,25 što je 140.875 tona i taj iznos oduzima od naših podataka o odloženom otpadu od 101.447 tona i dobiva razliku od 39.428 tona koja </w:t>
      </w:r>
      <w:r w:rsidR="007E17E8">
        <w:rPr>
          <w:rFonts w:ascii="Franklin Gothic Book" w:hAnsi="Franklin Gothic Book"/>
        </w:rPr>
        <w:t xml:space="preserve">po njemu </w:t>
      </w:r>
      <w:r>
        <w:rPr>
          <w:rFonts w:ascii="Franklin Gothic Book" w:hAnsi="Franklin Gothic Book"/>
        </w:rPr>
        <w:t>nedostaje</w:t>
      </w:r>
      <w:r w:rsidR="007E17E8">
        <w:rPr>
          <w:rFonts w:ascii="Franklin Gothic Book" w:hAnsi="Franklin Gothic Book"/>
        </w:rPr>
        <w:t xml:space="preserve">, te </w:t>
      </w:r>
      <w:r>
        <w:rPr>
          <w:rFonts w:ascii="Franklin Gothic Book" w:hAnsi="Franklin Gothic Book"/>
        </w:rPr>
        <w:t>je učinjena financijska šteta preko 13.000.000 kn.</w:t>
      </w:r>
    </w:p>
    <w:p w:rsidR="006323DA" w:rsidRDefault="006323DA" w:rsidP="00E83FFE">
      <w:pPr>
        <w:rPr>
          <w:rFonts w:ascii="Franklin Gothic Book" w:hAnsi="Franklin Gothic Book"/>
        </w:rPr>
      </w:pPr>
    </w:p>
    <w:p w:rsidR="006323DA" w:rsidRPr="00E12BBC" w:rsidRDefault="006323DA" w:rsidP="00E12BBC">
      <w:pPr>
        <w:jc w:val="both"/>
        <w:rPr>
          <w:rFonts w:ascii="Franklin Gothic Book" w:hAnsi="Franklin Gothic Book"/>
          <w:b/>
          <w:bCs/>
        </w:rPr>
      </w:pPr>
      <w:r w:rsidRPr="00E12BBC">
        <w:rPr>
          <w:rFonts w:ascii="Franklin Gothic Book" w:hAnsi="Franklin Gothic Book"/>
          <w:b/>
          <w:bCs/>
        </w:rPr>
        <w:t>Odgovor:</w:t>
      </w:r>
    </w:p>
    <w:p w:rsidR="006323DA" w:rsidRPr="0061392D" w:rsidRDefault="006323DA" w:rsidP="00E12BBC">
      <w:pPr>
        <w:pStyle w:val="Odlomakpopisa"/>
        <w:numPr>
          <w:ilvl w:val="0"/>
          <w:numId w:val="2"/>
        </w:numPr>
        <w:jc w:val="both"/>
        <w:rPr>
          <w:rFonts w:ascii="Franklin Gothic Book" w:hAnsi="Franklin Gothic Book"/>
          <w:u w:val="single"/>
        </w:rPr>
      </w:pPr>
      <w:r w:rsidRPr="0061392D">
        <w:rPr>
          <w:rFonts w:ascii="Franklin Gothic Book" w:hAnsi="Franklin Gothic Book"/>
          <w:u w:val="single"/>
        </w:rPr>
        <w:t>Dozvola za gospodarenje otpadom iz prosinca 2017. godine odnosi se na ukupni preostali kapacitet odlagališta, a ne za IV plohu</w:t>
      </w:r>
    </w:p>
    <w:p w:rsidR="007E17E8" w:rsidRPr="0061392D" w:rsidRDefault="007E17E8" w:rsidP="007E17E8">
      <w:pPr>
        <w:pStyle w:val="Odlomakpopisa"/>
        <w:jc w:val="both"/>
        <w:rPr>
          <w:rFonts w:ascii="Franklin Gothic Book" w:hAnsi="Franklin Gothic Book"/>
          <w:u w:val="single"/>
        </w:rPr>
      </w:pPr>
    </w:p>
    <w:p w:rsidR="006323DA" w:rsidRPr="0061392D" w:rsidRDefault="006323DA" w:rsidP="00E12BBC">
      <w:pPr>
        <w:pStyle w:val="Odlomakpopisa"/>
        <w:numPr>
          <w:ilvl w:val="0"/>
          <w:numId w:val="2"/>
        </w:numPr>
        <w:jc w:val="both"/>
        <w:rPr>
          <w:rFonts w:ascii="Franklin Gothic Book" w:hAnsi="Franklin Gothic Book"/>
          <w:u w:val="single"/>
        </w:rPr>
      </w:pPr>
      <w:r w:rsidRPr="0061392D">
        <w:rPr>
          <w:rFonts w:ascii="Franklin Gothic Book" w:hAnsi="Franklin Gothic Book"/>
          <w:u w:val="single"/>
        </w:rPr>
        <w:t xml:space="preserve">Odobreni kapacitet od 419.500 tona ne računa se od 01.01.2018. kako to navodi </w:t>
      </w:r>
      <w:r w:rsidR="007E17E8" w:rsidRPr="0061392D">
        <w:rPr>
          <w:rFonts w:ascii="Franklin Gothic Book" w:hAnsi="Franklin Gothic Book"/>
          <w:u w:val="single"/>
        </w:rPr>
        <w:t>gosp. Š</w:t>
      </w:r>
      <w:r w:rsidRPr="0061392D">
        <w:rPr>
          <w:rFonts w:ascii="Franklin Gothic Book" w:hAnsi="Franklin Gothic Book"/>
          <w:u w:val="single"/>
        </w:rPr>
        <w:t xml:space="preserve">vegović i kada je započelo odlaganje na IV plohi, već od dana podnošenja zahtjeva za izdavanjem </w:t>
      </w:r>
      <w:r w:rsidR="007E17E8" w:rsidRPr="0061392D">
        <w:rPr>
          <w:rFonts w:ascii="Franklin Gothic Book" w:hAnsi="Franklin Gothic Book"/>
          <w:u w:val="single"/>
        </w:rPr>
        <w:t>O</w:t>
      </w:r>
      <w:r w:rsidRPr="0061392D">
        <w:rPr>
          <w:rFonts w:ascii="Franklin Gothic Book" w:hAnsi="Franklin Gothic Book"/>
          <w:u w:val="single"/>
        </w:rPr>
        <w:t xml:space="preserve">kolišne dozvole, odnosno od 25.03.2014. </w:t>
      </w:r>
    </w:p>
    <w:p w:rsidR="007E17E8" w:rsidRPr="0061392D" w:rsidRDefault="007E17E8" w:rsidP="007E17E8">
      <w:pPr>
        <w:pStyle w:val="Odlomakpopisa"/>
        <w:rPr>
          <w:rFonts w:ascii="Franklin Gothic Book" w:hAnsi="Franklin Gothic Book"/>
          <w:u w:val="single"/>
        </w:rPr>
      </w:pPr>
    </w:p>
    <w:p w:rsidR="00064C6E" w:rsidRPr="0061392D" w:rsidRDefault="00064C6E" w:rsidP="00E12BBC">
      <w:pPr>
        <w:pStyle w:val="Odlomakpopisa"/>
        <w:numPr>
          <w:ilvl w:val="0"/>
          <w:numId w:val="2"/>
        </w:numPr>
        <w:jc w:val="both"/>
        <w:rPr>
          <w:rFonts w:ascii="Franklin Gothic Book" w:hAnsi="Franklin Gothic Book"/>
          <w:u w:val="single"/>
        </w:rPr>
      </w:pPr>
      <w:r w:rsidRPr="0061392D">
        <w:rPr>
          <w:rFonts w:ascii="Franklin Gothic Book" w:hAnsi="Franklin Gothic Book"/>
          <w:u w:val="single"/>
        </w:rPr>
        <w:t>Prema dozvoli za gospodarenje otpadom preostali kapacitet odlagališta na dan 31.12.2019. godine iznosi 120.096 tona , odnosno za 9.150 tona manje nego što je to navela uprava PSO-a</w:t>
      </w:r>
      <w:r w:rsidR="007E17E8" w:rsidRPr="0061392D">
        <w:rPr>
          <w:rFonts w:ascii="Franklin Gothic Book" w:hAnsi="Franklin Gothic Book"/>
          <w:u w:val="single"/>
        </w:rPr>
        <w:t>, a što je potvrdio i Državni inspektorat</w:t>
      </w:r>
    </w:p>
    <w:p w:rsidR="007E17E8" w:rsidRPr="0061392D" w:rsidRDefault="007E17E8" w:rsidP="007E17E8">
      <w:pPr>
        <w:pStyle w:val="Odlomakpopisa"/>
        <w:rPr>
          <w:rFonts w:ascii="Franklin Gothic Book" w:hAnsi="Franklin Gothic Book"/>
          <w:u w:val="single"/>
        </w:rPr>
      </w:pPr>
    </w:p>
    <w:p w:rsidR="00064C6E" w:rsidRPr="0061392D" w:rsidRDefault="00064C6E" w:rsidP="00E12BBC">
      <w:pPr>
        <w:pStyle w:val="Odlomakpopisa"/>
        <w:numPr>
          <w:ilvl w:val="0"/>
          <w:numId w:val="2"/>
        </w:numPr>
        <w:jc w:val="both"/>
        <w:rPr>
          <w:rFonts w:ascii="Franklin Gothic Book" w:hAnsi="Franklin Gothic Book"/>
          <w:u w:val="single"/>
        </w:rPr>
      </w:pPr>
      <w:r w:rsidRPr="0061392D">
        <w:rPr>
          <w:rFonts w:ascii="Franklin Gothic Book" w:hAnsi="Franklin Gothic Book"/>
          <w:u w:val="single"/>
        </w:rPr>
        <w:t>Stanje kapaciteta odlagališta na dan 31.12.2019. godine prikazuju slijedeći grafovi:</w:t>
      </w:r>
    </w:p>
    <w:p w:rsidR="007E17E8" w:rsidRPr="007E17E8" w:rsidRDefault="007E17E8" w:rsidP="007E17E8">
      <w:pPr>
        <w:pStyle w:val="Odlomakpopisa"/>
        <w:rPr>
          <w:rFonts w:ascii="Franklin Gothic Book" w:hAnsi="Franklin Gothic Book"/>
        </w:rPr>
      </w:pPr>
    </w:p>
    <w:p w:rsidR="007E17E8" w:rsidRDefault="00C91DBE" w:rsidP="007E17E8">
      <w:pPr>
        <w:jc w:val="both"/>
        <w:rPr>
          <w:rFonts w:ascii="Franklin Gothic Book" w:hAnsi="Franklin Gothic Book"/>
        </w:rPr>
      </w:pPr>
      <w:r>
        <w:rPr>
          <w:rFonts w:ascii="Franklin Gothic Book" w:hAnsi="Franklin Gothic Book"/>
        </w:rPr>
        <w:t>Prije grafova potrebno je objasniti tehnologiju odlaganja otpada, koju pokazuje slijedeća slika:</w:t>
      </w:r>
    </w:p>
    <w:p w:rsidR="00C91DBE" w:rsidRDefault="00C91DBE" w:rsidP="007E17E8">
      <w:pPr>
        <w:jc w:val="both"/>
        <w:rPr>
          <w:rFonts w:ascii="Franklin Gothic Book" w:hAnsi="Franklin Gothic Book"/>
        </w:rPr>
      </w:pPr>
    </w:p>
    <w:p w:rsidR="00C91DBE" w:rsidRDefault="00C91DBE" w:rsidP="007E17E8">
      <w:pPr>
        <w:jc w:val="both"/>
        <w:rPr>
          <w:rFonts w:ascii="Franklin Gothic Book" w:hAnsi="Franklin Gothic Book"/>
        </w:rPr>
      </w:pPr>
    </w:p>
    <w:p w:rsidR="00C91DBE" w:rsidRDefault="00C91DBE" w:rsidP="007E17E8">
      <w:pPr>
        <w:jc w:val="both"/>
        <w:rPr>
          <w:rFonts w:ascii="Franklin Gothic Book" w:hAnsi="Franklin Gothic Book"/>
        </w:rPr>
      </w:pPr>
    </w:p>
    <w:p w:rsidR="00C91DBE" w:rsidRPr="007E17E8" w:rsidRDefault="00C91DBE" w:rsidP="007E17E8">
      <w:pPr>
        <w:jc w:val="both"/>
        <w:rPr>
          <w:rFonts w:ascii="Franklin Gothic Book" w:hAnsi="Franklin Gothic Book"/>
        </w:rPr>
      </w:pPr>
    </w:p>
    <w:p w:rsidR="00C91DBE" w:rsidRDefault="00C91DBE" w:rsidP="00C91DBE">
      <w:pPr>
        <w:pStyle w:val="Odlomakpopisa"/>
        <w:spacing w:after="200" w:line="276" w:lineRule="auto"/>
        <w:ind w:right="142"/>
        <w:contextualSpacing w:val="0"/>
        <w:jc w:val="both"/>
        <w:rPr>
          <w:rFonts w:ascii="Franklin Gothic Book" w:hAnsi="Franklin Gothic Book" w:cstheme="minorHAnsi"/>
        </w:rPr>
      </w:pPr>
      <w:r w:rsidRPr="007D1E8E">
        <w:rPr>
          <w:rFonts w:ascii="Franklin Gothic Book" w:hAnsi="Franklin Gothic Book" w:cstheme="minorHAnsi"/>
        </w:rPr>
        <w:t xml:space="preserve">Tehnologija odlaganja </w:t>
      </w:r>
      <w:r>
        <w:rPr>
          <w:rFonts w:ascii="Franklin Gothic Book" w:hAnsi="Franklin Gothic Book" w:cstheme="minorHAnsi"/>
        </w:rPr>
        <w:t>sastoji se od faza odlaganja, a ne ploha. Isto tako</w:t>
      </w:r>
      <w:r w:rsidRPr="007D1E8E">
        <w:rPr>
          <w:rFonts w:ascii="Franklin Gothic Book" w:hAnsi="Franklin Gothic Book" w:cstheme="minorHAnsi"/>
        </w:rPr>
        <w:t xml:space="preserve"> se kapaciteti iskazuju po fazama, a ne po plohama. Odlagalište se popunjava u četiri faze, kako to prikazuje slijedeći presjek odlagališta:</w:t>
      </w:r>
    </w:p>
    <w:p w:rsidR="00C91DBE" w:rsidRDefault="00C91DBE" w:rsidP="000A1FCE">
      <w:pPr>
        <w:pStyle w:val="Odlomakpopisa"/>
        <w:spacing w:after="200" w:line="276" w:lineRule="auto"/>
        <w:ind w:right="142"/>
        <w:contextualSpacing w:val="0"/>
        <w:jc w:val="center"/>
        <w:rPr>
          <w:rFonts w:ascii="Franklin Gothic Book" w:hAnsi="Franklin Gothic Book" w:cstheme="minorHAnsi"/>
        </w:rPr>
      </w:pPr>
      <w:r w:rsidRPr="007D1E8E">
        <w:rPr>
          <w:noProof/>
          <w:lang w:eastAsia="hr-HR"/>
        </w:rPr>
        <w:drawing>
          <wp:inline distT="0" distB="0" distL="0" distR="0" wp14:anchorId="543AD69F" wp14:editId="704865D4">
            <wp:extent cx="5200650" cy="1976755"/>
            <wp:effectExtent l="0" t="0" r="0" b="444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0650" cy="1976755"/>
                    </a:xfrm>
                    <a:prstGeom prst="rect">
                      <a:avLst/>
                    </a:prstGeom>
                    <a:noFill/>
                    <a:ln>
                      <a:noFill/>
                    </a:ln>
                  </pic:spPr>
                </pic:pic>
              </a:graphicData>
            </a:graphic>
          </wp:inline>
        </w:drawing>
      </w:r>
    </w:p>
    <w:p w:rsidR="00C91DBE" w:rsidRPr="007D1E8E" w:rsidRDefault="00C91DBE" w:rsidP="00C91DBE">
      <w:pPr>
        <w:ind w:right="142"/>
        <w:jc w:val="both"/>
        <w:rPr>
          <w:rFonts w:ascii="Franklin Gothic Book" w:hAnsi="Franklin Gothic Book" w:cstheme="minorHAnsi"/>
        </w:rPr>
      </w:pPr>
      <w:r w:rsidRPr="007D1E8E">
        <w:rPr>
          <w:rFonts w:ascii="Franklin Gothic Book" w:hAnsi="Franklin Gothic Book" w:cstheme="minorHAnsi"/>
        </w:rPr>
        <w:t>Iz presjeka jasno je vidljivo da I faza obuhvaća odlaganje na plohi I, II faza odnosi se na odlaganje na II i II plohi, III faza odnosi se na odlaganje na III, II i I plohi, dok IV faza predviđa odlaganje na IV, III, II i I plohi.</w:t>
      </w:r>
    </w:p>
    <w:p w:rsidR="00C91DBE" w:rsidRDefault="00C91DBE" w:rsidP="00C91DBE">
      <w:pPr>
        <w:pStyle w:val="Odlomakpopisa"/>
        <w:spacing w:after="200" w:line="276" w:lineRule="auto"/>
        <w:ind w:right="142"/>
        <w:contextualSpacing w:val="0"/>
        <w:jc w:val="both"/>
        <w:rPr>
          <w:rFonts w:ascii="Franklin Gothic Book" w:hAnsi="Franklin Gothic Book" w:cstheme="minorHAnsi"/>
        </w:rPr>
      </w:pPr>
    </w:p>
    <w:p w:rsidR="00C91DBE" w:rsidRPr="007D1E8E" w:rsidRDefault="00C91DBE" w:rsidP="00C91DBE">
      <w:pPr>
        <w:pStyle w:val="Odlomakpopisa"/>
        <w:spacing w:after="200" w:line="276" w:lineRule="auto"/>
        <w:ind w:right="142"/>
        <w:contextualSpacing w:val="0"/>
        <w:jc w:val="both"/>
        <w:rPr>
          <w:rFonts w:ascii="Franklin Gothic Book" w:hAnsi="Franklin Gothic Book" w:cstheme="minorHAnsi"/>
        </w:rPr>
      </w:pPr>
    </w:p>
    <w:p w:rsidR="00E12BBC" w:rsidRDefault="00E12BBC" w:rsidP="00E12BBC">
      <w:pPr>
        <w:pStyle w:val="Odlomakpopisa"/>
        <w:jc w:val="both"/>
        <w:rPr>
          <w:rFonts w:ascii="Franklin Gothic Book" w:hAnsi="Franklin Gothic Book"/>
        </w:rPr>
      </w:pPr>
    </w:p>
    <w:p w:rsidR="00064C6E" w:rsidRDefault="00064C6E" w:rsidP="00064C6E">
      <w:pPr>
        <w:pStyle w:val="Odlomakpopisa"/>
        <w:rPr>
          <w:rFonts w:ascii="Franklin Gothic Book" w:hAnsi="Franklin Gothic Book"/>
        </w:rPr>
      </w:pPr>
      <w:r w:rsidRPr="007D1E8E">
        <w:rPr>
          <w:noProof/>
          <w:lang w:eastAsia="hr-HR"/>
        </w:rPr>
        <w:drawing>
          <wp:inline distT="0" distB="0" distL="0" distR="0" wp14:anchorId="127724A5" wp14:editId="7FC57AD2">
            <wp:extent cx="5760720" cy="3290552"/>
            <wp:effectExtent l="0" t="0" r="11430" b="5715"/>
            <wp:docPr id="5" name="Grafikon 5">
              <a:extLst xmlns:a="http://schemas.openxmlformats.org/drawingml/2006/main">
                <a:ext uri="{FF2B5EF4-FFF2-40B4-BE49-F238E27FC236}">
                  <a16:creationId xmlns:a16="http://schemas.microsoft.com/office/drawing/2014/main" id="{B603E2C5-EFBD-4847-819D-FA3AC4A08F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64C6E" w:rsidRDefault="00064C6E" w:rsidP="00064C6E">
      <w:pPr>
        <w:pStyle w:val="Odlomakpopisa"/>
        <w:rPr>
          <w:rFonts w:ascii="Franklin Gothic Book" w:hAnsi="Franklin Gothic Book"/>
        </w:rPr>
      </w:pPr>
    </w:p>
    <w:p w:rsidR="00064C6E" w:rsidRDefault="007E17E8" w:rsidP="00064C6E">
      <w:pPr>
        <w:pStyle w:val="Odlomakpopisa"/>
        <w:rPr>
          <w:rFonts w:ascii="Franklin Gothic Book" w:hAnsi="Franklin Gothic Book"/>
        </w:rPr>
      </w:pPr>
      <w:r>
        <w:rPr>
          <w:noProof/>
          <w:lang w:eastAsia="hr-HR"/>
        </w:rPr>
        <w:drawing>
          <wp:inline distT="0" distB="0" distL="0" distR="0" wp14:anchorId="72EE08B7" wp14:editId="653B2254">
            <wp:extent cx="5725236" cy="2844800"/>
            <wp:effectExtent l="0" t="0" r="8890" b="12700"/>
            <wp:docPr id="1" name="Grafikon 1">
              <a:extLst xmlns:a="http://schemas.openxmlformats.org/drawingml/2006/main">
                <a:ext uri="{FF2B5EF4-FFF2-40B4-BE49-F238E27FC236}">
                  <a16:creationId xmlns:a16="http://schemas.microsoft.com/office/drawing/2014/main" id="{5AD4B437-0C89-4A3E-BEE6-855AA680D9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4C6E" w:rsidRDefault="00064C6E" w:rsidP="00064C6E">
      <w:pPr>
        <w:pStyle w:val="Odlomakpopisa"/>
        <w:rPr>
          <w:rFonts w:ascii="Franklin Gothic Book" w:hAnsi="Franklin Gothic Book"/>
        </w:rPr>
      </w:pPr>
    </w:p>
    <w:p w:rsidR="00C45C10" w:rsidRDefault="00C45C10" w:rsidP="00064C6E">
      <w:pPr>
        <w:pStyle w:val="Odlomakpopisa"/>
        <w:rPr>
          <w:rFonts w:ascii="Franklin Gothic Book" w:hAnsi="Franklin Gothic Book"/>
        </w:rPr>
      </w:pPr>
      <w:r>
        <w:rPr>
          <w:rFonts w:ascii="Franklin Gothic Book" w:hAnsi="Franklin Gothic Book"/>
        </w:rPr>
        <w:t>Da je danom odlaganja otpada na IV plohu, već bila odložena značajna količina otpada u IV fazi odlaganja, pokazuje i slijedeći geodetski snimak:</w:t>
      </w:r>
    </w:p>
    <w:p w:rsidR="00C45C10" w:rsidRDefault="00C45C10" w:rsidP="00064C6E">
      <w:pPr>
        <w:pStyle w:val="Odlomakpopisa"/>
        <w:rPr>
          <w:rFonts w:ascii="Franklin Gothic Book" w:hAnsi="Franklin Gothic Book"/>
        </w:rPr>
      </w:pPr>
    </w:p>
    <w:p w:rsidR="00064C6E" w:rsidRDefault="00C45C10" w:rsidP="00064C6E">
      <w:pPr>
        <w:pStyle w:val="Odlomakpopisa"/>
        <w:rPr>
          <w:rFonts w:ascii="Franklin Gothic Book" w:hAnsi="Franklin Gothic Book"/>
        </w:rPr>
      </w:pPr>
      <w:r>
        <w:rPr>
          <w:noProof/>
          <w:lang w:eastAsia="hr-HR"/>
        </w:rPr>
        <w:drawing>
          <wp:inline distT="0" distB="0" distL="0" distR="0" wp14:anchorId="30824CCD" wp14:editId="1D5547B3">
            <wp:extent cx="5760720" cy="412178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4121785"/>
                    </a:xfrm>
                    <a:prstGeom prst="rect">
                      <a:avLst/>
                    </a:prstGeom>
                  </pic:spPr>
                </pic:pic>
              </a:graphicData>
            </a:graphic>
          </wp:inline>
        </w:drawing>
      </w:r>
    </w:p>
    <w:p w:rsidR="00064C6E" w:rsidRDefault="00064C6E" w:rsidP="00064C6E">
      <w:pPr>
        <w:pStyle w:val="Odlomakpopisa"/>
        <w:rPr>
          <w:rFonts w:ascii="Franklin Gothic Book" w:hAnsi="Franklin Gothic Book"/>
        </w:rPr>
      </w:pPr>
    </w:p>
    <w:p w:rsidR="00064C6E" w:rsidRDefault="00064C6E" w:rsidP="00064C6E">
      <w:pPr>
        <w:pStyle w:val="Odlomakpopisa"/>
        <w:rPr>
          <w:rFonts w:ascii="Franklin Gothic Book" w:hAnsi="Franklin Gothic Book"/>
        </w:rPr>
      </w:pPr>
      <w:r>
        <w:rPr>
          <w:rFonts w:ascii="Franklin Gothic Book" w:hAnsi="Franklin Gothic Book"/>
        </w:rPr>
        <w:t xml:space="preserve">Zaključno, danom početka odlaganja na IV plohu , koja je i sastavni dio IV faze odlaganja, kapacitet IV faze već je bio popunjen sa 116.409 m3 otpada, dok je na dan 31.12.2019. </w:t>
      </w:r>
      <w:r>
        <w:rPr>
          <w:rFonts w:ascii="Franklin Gothic Book" w:hAnsi="Franklin Gothic Book"/>
        </w:rPr>
        <w:lastRenderedPageBreak/>
        <w:t>godine prema Dozvoli za gospodarenje otpadom bilo odloženo ukupno 299.404 tona od odobrenih 419.500 tona, te preostali kapacitet iznosi 120.096 tona.</w:t>
      </w:r>
    </w:p>
    <w:p w:rsidR="00064C6E" w:rsidRDefault="00064C6E" w:rsidP="00064C6E">
      <w:pPr>
        <w:pStyle w:val="Odlomakpopisa"/>
        <w:rPr>
          <w:rFonts w:ascii="Franklin Gothic Book" w:hAnsi="Franklin Gothic Book"/>
        </w:rPr>
      </w:pPr>
    </w:p>
    <w:p w:rsidR="00064C6E" w:rsidRDefault="00064C6E" w:rsidP="00555376">
      <w:pPr>
        <w:pStyle w:val="Odlomakpopisa"/>
        <w:numPr>
          <w:ilvl w:val="0"/>
          <w:numId w:val="2"/>
        </w:numPr>
        <w:jc w:val="both"/>
        <w:rPr>
          <w:rFonts w:ascii="Franklin Gothic Book" w:hAnsi="Franklin Gothic Book"/>
        </w:rPr>
      </w:pPr>
      <w:r>
        <w:rPr>
          <w:rFonts w:ascii="Franklin Gothic Book" w:hAnsi="Franklin Gothic Book"/>
        </w:rPr>
        <w:t>Na dozvoli za gospodarenje otpadom</w:t>
      </w:r>
      <w:r w:rsidR="00E12BBC">
        <w:rPr>
          <w:rFonts w:ascii="Franklin Gothic Book" w:hAnsi="Franklin Gothic Book"/>
        </w:rPr>
        <w:t xml:space="preserve"> između ostalog navedena su dva podatka i to odobren kapacitet od 419.500 tona i preostali slobodni volumen odlagališta od 336.000 m3. Međutim, podatak od 419.500 tona odnosi se na dan 25.03.2014., dok se podatak od 336.000 m3 odnosi na dan 21.08.2017. godine. Dakle, podaci su navedeni sa vremenskim odmakom od 3,5 godine i nije moguće iz njih računati bilo kakav koeficijent zbijenosti. Zaključno, Dozvola za gospodarenje otpadom ne propisuje nikakav koeficijent zbijenosti.</w:t>
      </w:r>
    </w:p>
    <w:p w:rsidR="00555376" w:rsidRPr="00555376" w:rsidRDefault="00555376" w:rsidP="00555376">
      <w:pPr>
        <w:jc w:val="both"/>
        <w:rPr>
          <w:rFonts w:ascii="Franklin Gothic Book" w:hAnsi="Franklin Gothic Book"/>
        </w:rPr>
      </w:pPr>
    </w:p>
    <w:p w:rsidR="00555376" w:rsidRDefault="00555376" w:rsidP="00555376">
      <w:pPr>
        <w:jc w:val="both"/>
        <w:rPr>
          <w:rFonts w:ascii="Franklin Gothic Book" w:hAnsi="Franklin Gothic Book"/>
        </w:rPr>
      </w:pPr>
      <w:r w:rsidRPr="00555376">
        <w:rPr>
          <w:rFonts w:ascii="Franklin Gothic Book" w:hAnsi="Franklin Gothic Book"/>
        </w:rPr>
        <w:t>Podatak o koeficijentu zbijenosti iz Okolišne dozvole od 1,5 odnosi se na preostali slobodni volumen odlagališta na dan 21.08.2017. godine. Dobiven je na osnovu utvrđenog ukupnog koeficijenta zbijenosti na dan 21.</w:t>
      </w:r>
      <w:r w:rsidR="0061392D">
        <w:rPr>
          <w:rFonts w:ascii="Franklin Gothic Book" w:hAnsi="Franklin Gothic Book"/>
        </w:rPr>
        <w:t>08.2017. koji je prema prijašnjoj</w:t>
      </w:r>
      <w:r w:rsidRPr="00555376">
        <w:rPr>
          <w:rFonts w:ascii="Franklin Gothic Book" w:hAnsi="Franklin Gothic Book"/>
        </w:rPr>
        <w:t xml:space="preserve"> upravi iznosio 1,42 i kada se tome dodaju vremenski naknadni efekti slijeganja, procjena je bila da je moguće postići 1,5.</w:t>
      </w:r>
    </w:p>
    <w:p w:rsidR="00555376" w:rsidRDefault="00555376" w:rsidP="00555376">
      <w:pPr>
        <w:jc w:val="both"/>
        <w:rPr>
          <w:rFonts w:ascii="Franklin Gothic Book" w:hAnsi="Franklin Gothic Book"/>
        </w:rPr>
      </w:pPr>
      <w:r>
        <w:rPr>
          <w:rFonts w:ascii="Franklin Gothic Book" w:hAnsi="Franklin Gothic Book"/>
        </w:rPr>
        <w:t>Međutim, ukupni koeficijent zbijenosti na dan 31.12.2014. godine iznosio je 1,24, što je realno jer je ovaj koeficijent dobiven premještanjem i sabijanje inertnog otpada u količini od cca 350.000 tona.</w:t>
      </w:r>
    </w:p>
    <w:p w:rsidR="0061392D" w:rsidRDefault="00555376" w:rsidP="00555376">
      <w:pPr>
        <w:jc w:val="both"/>
        <w:rPr>
          <w:rFonts w:ascii="Franklin Gothic Book" w:hAnsi="Franklin Gothic Book"/>
          <w:b/>
        </w:rPr>
      </w:pPr>
      <w:r>
        <w:rPr>
          <w:rFonts w:ascii="Franklin Gothic Book" w:hAnsi="Franklin Gothic Book"/>
        </w:rPr>
        <w:t>Odgovor na pitanje kako je povećan koeficijent zbijen</w:t>
      </w:r>
      <w:r w:rsidR="0061392D">
        <w:rPr>
          <w:rFonts w:ascii="Franklin Gothic Book" w:hAnsi="Franklin Gothic Book"/>
        </w:rPr>
        <w:t>osti u vrlo kratkom periodu od 2,</w:t>
      </w:r>
      <w:r>
        <w:rPr>
          <w:rFonts w:ascii="Franklin Gothic Book" w:hAnsi="Franklin Gothic Book"/>
        </w:rPr>
        <w:t xml:space="preserve">5 godine na 1,42, </w:t>
      </w:r>
      <w:r w:rsidR="0061392D">
        <w:rPr>
          <w:rFonts w:ascii="Franklin Gothic Book" w:hAnsi="Franklin Gothic Book"/>
          <w:b/>
        </w:rPr>
        <w:t>leži u prikazanom koeficijentu zbijenosti 3 za razdoblje</w:t>
      </w:r>
      <w:r w:rsidRPr="0061392D">
        <w:rPr>
          <w:rFonts w:ascii="Franklin Gothic Book" w:hAnsi="Franklin Gothic Book"/>
          <w:b/>
        </w:rPr>
        <w:t xml:space="preserve"> 01.01.2015 – </w:t>
      </w:r>
      <w:r w:rsidR="0061392D">
        <w:rPr>
          <w:rFonts w:ascii="Franklin Gothic Book" w:hAnsi="Franklin Gothic Book"/>
          <w:b/>
        </w:rPr>
        <w:t xml:space="preserve">21.08.2017. </w:t>
      </w:r>
    </w:p>
    <w:p w:rsidR="00555376" w:rsidRDefault="00555376" w:rsidP="00555376">
      <w:pPr>
        <w:jc w:val="both"/>
        <w:rPr>
          <w:rFonts w:ascii="Franklin Gothic Book" w:hAnsi="Franklin Gothic Book"/>
        </w:rPr>
      </w:pPr>
      <w:r>
        <w:rPr>
          <w:rFonts w:ascii="Franklin Gothic Book" w:hAnsi="Franklin Gothic Book"/>
        </w:rPr>
        <w:t xml:space="preserve">Nadalje, u periodu </w:t>
      </w:r>
      <w:r w:rsidR="00DD58C9">
        <w:rPr>
          <w:rFonts w:ascii="Franklin Gothic Book" w:hAnsi="Franklin Gothic Book"/>
        </w:rPr>
        <w:t>o</w:t>
      </w:r>
      <w:r>
        <w:rPr>
          <w:rFonts w:ascii="Franklin Gothic Book" w:hAnsi="Franklin Gothic Book"/>
        </w:rPr>
        <w:t>d 21.08.2017 do 31.12.2017. koeficijent je iznosio 0,36.</w:t>
      </w:r>
    </w:p>
    <w:p w:rsidR="00555376" w:rsidRPr="0061392D" w:rsidRDefault="00555376" w:rsidP="00555376">
      <w:pPr>
        <w:jc w:val="both"/>
        <w:rPr>
          <w:rFonts w:ascii="Franklin Gothic Book" w:hAnsi="Franklin Gothic Book"/>
          <w:b/>
          <w:u w:val="single"/>
        </w:rPr>
      </w:pPr>
      <w:r w:rsidRPr="0061392D">
        <w:rPr>
          <w:rFonts w:ascii="Franklin Gothic Book" w:hAnsi="Franklin Gothic Book"/>
          <w:b/>
          <w:u w:val="single"/>
        </w:rPr>
        <w:t>Zaključno, koefic</w:t>
      </w:r>
      <w:r w:rsidR="0061392D">
        <w:rPr>
          <w:rFonts w:ascii="Franklin Gothic Book" w:hAnsi="Franklin Gothic Book"/>
          <w:b/>
          <w:u w:val="single"/>
        </w:rPr>
        <w:t xml:space="preserve">ijent od </w:t>
      </w:r>
      <w:r w:rsidR="00E00EC8">
        <w:rPr>
          <w:rFonts w:ascii="Franklin Gothic Book" w:hAnsi="Franklin Gothic Book"/>
          <w:b/>
          <w:u w:val="single"/>
        </w:rPr>
        <w:t>1,42 nije realan upravo zbog operativne nemogućnosti postizanja kofecijenta zbijenosti 3 u razdoblju od 2,5 godine.</w:t>
      </w:r>
    </w:p>
    <w:p w:rsidR="00064C6E" w:rsidRDefault="00064C6E" w:rsidP="00064C6E">
      <w:pPr>
        <w:rPr>
          <w:rFonts w:ascii="Franklin Gothic Book" w:hAnsi="Franklin Gothic Book"/>
        </w:rPr>
      </w:pPr>
    </w:p>
    <w:p w:rsidR="000A1FCE" w:rsidRPr="000A1FCE" w:rsidRDefault="000A1FCE" w:rsidP="000A1FCE">
      <w:pPr>
        <w:ind w:left="4962"/>
        <w:jc w:val="center"/>
        <w:rPr>
          <w:rFonts w:ascii="Franklin Gothic Book" w:hAnsi="Franklin Gothic Book"/>
          <w:b/>
          <w:bCs/>
          <w:sz w:val="20"/>
          <w:szCs w:val="20"/>
        </w:rPr>
      </w:pPr>
      <w:r w:rsidRPr="000A1FCE">
        <w:rPr>
          <w:rFonts w:ascii="Franklin Gothic Book" w:hAnsi="Franklin Gothic Book"/>
          <w:b/>
          <w:bCs/>
          <w:sz w:val="20"/>
          <w:szCs w:val="20"/>
        </w:rPr>
        <w:t>PIŠKORNICA – SANACIJSKO ODLAGALIŠTE d.o.o.</w:t>
      </w:r>
    </w:p>
    <w:p w:rsidR="006323DA" w:rsidRDefault="006323DA" w:rsidP="00E83FFE">
      <w:pPr>
        <w:rPr>
          <w:rFonts w:ascii="Franklin Gothic Book" w:hAnsi="Franklin Gothic Book"/>
        </w:rPr>
      </w:pPr>
    </w:p>
    <w:p w:rsidR="00943225" w:rsidRDefault="00943225" w:rsidP="00E83FFE">
      <w:pPr>
        <w:rPr>
          <w:rFonts w:ascii="Franklin Gothic Book" w:hAnsi="Franklin Gothic Book"/>
        </w:rPr>
      </w:pPr>
    </w:p>
    <w:p w:rsidR="00943225" w:rsidRPr="00E83FFE" w:rsidRDefault="00943225" w:rsidP="00E83FFE">
      <w:pPr>
        <w:rPr>
          <w:rFonts w:ascii="Franklin Gothic Book" w:hAnsi="Franklin Gothic Book"/>
        </w:rPr>
      </w:pPr>
    </w:p>
    <w:sectPr w:rsidR="00943225" w:rsidRPr="00E83FF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2DCB" w:rsidRDefault="009D2DCB" w:rsidP="007E17E8">
      <w:pPr>
        <w:spacing w:after="0" w:line="240" w:lineRule="auto"/>
      </w:pPr>
      <w:r>
        <w:separator/>
      </w:r>
    </w:p>
  </w:endnote>
  <w:endnote w:type="continuationSeparator" w:id="0">
    <w:p w:rsidR="009D2DCB" w:rsidRDefault="009D2DCB" w:rsidP="007E1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17E8" w:rsidRDefault="007E17E8">
    <w:pPr>
      <w:pStyle w:val="Podnoje"/>
    </w:pPr>
    <w:r>
      <w:rPr>
        <w:noProof/>
        <w:lang w:eastAsia="hr-HR"/>
      </w:rPr>
      <w:drawing>
        <wp:inline distT="0" distB="0" distL="0" distR="0" wp14:anchorId="6460FA89" wp14:editId="77784FDB">
          <wp:extent cx="5760720" cy="704657"/>
          <wp:effectExtent l="0" t="0" r="0" b="63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046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2DCB" w:rsidRDefault="009D2DCB" w:rsidP="007E17E8">
      <w:pPr>
        <w:spacing w:after="0" w:line="240" w:lineRule="auto"/>
      </w:pPr>
      <w:r>
        <w:separator/>
      </w:r>
    </w:p>
  </w:footnote>
  <w:footnote w:type="continuationSeparator" w:id="0">
    <w:p w:rsidR="009D2DCB" w:rsidRDefault="009D2DCB" w:rsidP="007E1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17E8" w:rsidRDefault="007E17E8">
    <w:pPr>
      <w:pStyle w:val="Zaglavlje"/>
    </w:pPr>
    <w:r>
      <w:rPr>
        <w:noProof/>
        <w:lang w:eastAsia="hr-HR"/>
      </w:rPr>
      <w:drawing>
        <wp:inline distT="0" distB="0" distL="0" distR="0" wp14:anchorId="0B6DF83D" wp14:editId="14D8E034">
          <wp:extent cx="5760720" cy="705928"/>
          <wp:effectExtent l="0" t="0" r="0" b="0"/>
          <wp:docPr id="13"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5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07F5"/>
    <w:multiLevelType w:val="hybridMultilevel"/>
    <w:tmpl w:val="C76AD8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225D4C"/>
    <w:multiLevelType w:val="hybridMultilevel"/>
    <w:tmpl w:val="42E6D8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7FB4A59"/>
    <w:multiLevelType w:val="hybridMultilevel"/>
    <w:tmpl w:val="DC3EB1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FFE"/>
    <w:rsid w:val="00064C6E"/>
    <w:rsid w:val="000A1FCE"/>
    <w:rsid w:val="0020408A"/>
    <w:rsid w:val="00555376"/>
    <w:rsid w:val="0061392D"/>
    <w:rsid w:val="006323DA"/>
    <w:rsid w:val="007E17E8"/>
    <w:rsid w:val="00943225"/>
    <w:rsid w:val="009D2DCB"/>
    <w:rsid w:val="00AC2AA3"/>
    <w:rsid w:val="00C45C10"/>
    <w:rsid w:val="00C91DBE"/>
    <w:rsid w:val="00CC51A8"/>
    <w:rsid w:val="00DD58C9"/>
    <w:rsid w:val="00E00EC8"/>
    <w:rsid w:val="00E12BBC"/>
    <w:rsid w:val="00E83F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7453"/>
  <w15:chartTrackingRefBased/>
  <w15:docId w15:val="{CD91CD03-4688-473B-99BA-9ABA5A00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3FFE"/>
    <w:pPr>
      <w:ind w:left="720"/>
      <w:contextualSpacing/>
    </w:pPr>
  </w:style>
  <w:style w:type="paragraph" w:styleId="Zaglavlje">
    <w:name w:val="header"/>
    <w:basedOn w:val="Normal"/>
    <w:link w:val="ZaglavljeChar"/>
    <w:uiPriority w:val="99"/>
    <w:unhideWhenUsed/>
    <w:rsid w:val="007E17E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E17E8"/>
  </w:style>
  <w:style w:type="paragraph" w:styleId="Podnoje">
    <w:name w:val="footer"/>
    <w:basedOn w:val="Normal"/>
    <w:link w:val="PodnojeChar"/>
    <w:uiPriority w:val="99"/>
    <w:unhideWhenUsed/>
    <w:rsid w:val="007E17E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E1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blazok\PI&#352;KORNICA\2020\MJESE&#268;NA%20IZVJE&#352;&#262;A%20O%20POSLOVANJU\podaci%20o%20odlaganju%20na%20odlagali&#353;tu.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b="1"/>
              <a:t>Pregled iskorištenosti kapaciteta</a:t>
            </a:r>
            <a:r>
              <a:rPr lang="hr-HR" b="1" baseline="0"/>
              <a:t> ploha na dan 31.12.2017.</a:t>
            </a:r>
            <a:endParaRPr lang="hr-H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List1!$F$16</c:f>
              <c:strCache>
                <c:ptCount val="1"/>
                <c:pt idx="0">
                  <c:v>I ploha</c:v>
                </c:pt>
              </c:strCache>
            </c:strRef>
          </c:tx>
          <c:spPr>
            <a:solidFill>
              <a:schemeClr val="accent1"/>
            </a:solidFill>
            <a:ln>
              <a:noFill/>
            </a:ln>
            <a:effectLst/>
          </c:spPr>
          <c:invertIfNegative val="0"/>
          <c:cat>
            <c:strRef>
              <c:f>List1!$G$15:$I$15</c:f>
              <c:strCache>
                <c:ptCount val="3"/>
                <c:pt idx="0">
                  <c:v>kapacitet - m3</c:v>
                </c:pt>
                <c:pt idx="1">
                  <c:v>iskorišteno - m3</c:v>
                </c:pt>
                <c:pt idx="2">
                  <c:v>postotak</c:v>
                </c:pt>
              </c:strCache>
            </c:strRef>
          </c:cat>
          <c:val>
            <c:numRef>
              <c:f>List1!$G$16:$I$16</c:f>
              <c:numCache>
                <c:formatCode>#,##0</c:formatCode>
                <c:ptCount val="3"/>
                <c:pt idx="0">
                  <c:v>82000</c:v>
                </c:pt>
                <c:pt idx="1">
                  <c:v>82000</c:v>
                </c:pt>
                <c:pt idx="2">
                  <c:v>100</c:v>
                </c:pt>
              </c:numCache>
            </c:numRef>
          </c:val>
          <c:extLst>
            <c:ext xmlns:c16="http://schemas.microsoft.com/office/drawing/2014/chart" uri="{C3380CC4-5D6E-409C-BE32-E72D297353CC}">
              <c16:uniqueId val="{00000000-9422-4632-9C55-782BDE5AFD76}"/>
            </c:ext>
          </c:extLst>
        </c:ser>
        <c:ser>
          <c:idx val="1"/>
          <c:order val="1"/>
          <c:tx>
            <c:strRef>
              <c:f>List1!$F$17</c:f>
              <c:strCache>
                <c:ptCount val="1"/>
                <c:pt idx="0">
                  <c:v>II ploha</c:v>
                </c:pt>
              </c:strCache>
            </c:strRef>
          </c:tx>
          <c:spPr>
            <a:solidFill>
              <a:schemeClr val="accent2"/>
            </a:solidFill>
            <a:ln>
              <a:noFill/>
            </a:ln>
            <a:effectLst/>
          </c:spPr>
          <c:invertIfNegative val="0"/>
          <c:cat>
            <c:strRef>
              <c:f>List1!$G$15:$I$15</c:f>
              <c:strCache>
                <c:ptCount val="3"/>
                <c:pt idx="0">
                  <c:v>kapacitet - m3</c:v>
                </c:pt>
                <c:pt idx="1">
                  <c:v>iskorišteno - m3</c:v>
                </c:pt>
                <c:pt idx="2">
                  <c:v>postotak</c:v>
                </c:pt>
              </c:strCache>
            </c:strRef>
          </c:cat>
          <c:val>
            <c:numRef>
              <c:f>List1!$G$17:$I$17</c:f>
              <c:numCache>
                <c:formatCode>#,##0</c:formatCode>
                <c:ptCount val="3"/>
                <c:pt idx="0">
                  <c:v>172000</c:v>
                </c:pt>
                <c:pt idx="1">
                  <c:v>172000</c:v>
                </c:pt>
                <c:pt idx="2">
                  <c:v>100</c:v>
                </c:pt>
              </c:numCache>
            </c:numRef>
          </c:val>
          <c:extLst>
            <c:ext xmlns:c16="http://schemas.microsoft.com/office/drawing/2014/chart" uri="{C3380CC4-5D6E-409C-BE32-E72D297353CC}">
              <c16:uniqueId val="{00000001-9422-4632-9C55-782BDE5AFD76}"/>
            </c:ext>
          </c:extLst>
        </c:ser>
        <c:ser>
          <c:idx val="2"/>
          <c:order val="2"/>
          <c:tx>
            <c:strRef>
              <c:f>List1!$F$18</c:f>
              <c:strCache>
                <c:ptCount val="1"/>
                <c:pt idx="0">
                  <c:v>III ploha</c:v>
                </c:pt>
              </c:strCache>
            </c:strRef>
          </c:tx>
          <c:spPr>
            <a:solidFill>
              <a:schemeClr val="accent3"/>
            </a:solidFill>
            <a:ln>
              <a:noFill/>
            </a:ln>
            <a:effectLst/>
          </c:spPr>
          <c:invertIfNegative val="0"/>
          <c:cat>
            <c:strRef>
              <c:f>List1!$G$15:$I$15</c:f>
              <c:strCache>
                <c:ptCount val="3"/>
                <c:pt idx="0">
                  <c:v>kapacitet - m3</c:v>
                </c:pt>
                <c:pt idx="1">
                  <c:v>iskorišteno - m3</c:v>
                </c:pt>
                <c:pt idx="2">
                  <c:v>postotak</c:v>
                </c:pt>
              </c:strCache>
            </c:strRef>
          </c:cat>
          <c:val>
            <c:numRef>
              <c:f>List1!$G$18:$I$18</c:f>
              <c:numCache>
                <c:formatCode>#,##0</c:formatCode>
                <c:ptCount val="3"/>
                <c:pt idx="0">
                  <c:v>203000</c:v>
                </c:pt>
                <c:pt idx="1">
                  <c:v>203000</c:v>
                </c:pt>
                <c:pt idx="2">
                  <c:v>100</c:v>
                </c:pt>
              </c:numCache>
            </c:numRef>
          </c:val>
          <c:extLst>
            <c:ext xmlns:c16="http://schemas.microsoft.com/office/drawing/2014/chart" uri="{C3380CC4-5D6E-409C-BE32-E72D297353CC}">
              <c16:uniqueId val="{00000002-9422-4632-9C55-782BDE5AFD76}"/>
            </c:ext>
          </c:extLst>
        </c:ser>
        <c:ser>
          <c:idx val="3"/>
          <c:order val="3"/>
          <c:tx>
            <c:strRef>
              <c:f>List1!$F$19</c:f>
              <c:strCache>
                <c:ptCount val="1"/>
                <c:pt idx="0">
                  <c:v>IV ploha</c:v>
                </c:pt>
              </c:strCache>
            </c:strRef>
          </c:tx>
          <c:spPr>
            <a:solidFill>
              <a:schemeClr val="accent4"/>
            </a:solidFill>
            <a:ln>
              <a:noFill/>
            </a:ln>
            <a:effectLst/>
          </c:spPr>
          <c:invertIfNegative val="0"/>
          <c:cat>
            <c:strRef>
              <c:f>List1!$G$15:$I$15</c:f>
              <c:strCache>
                <c:ptCount val="3"/>
                <c:pt idx="0">
                  <c:v>kapacitet - m3</c:v>
                </c:pt>
                <c:pt idx="1">
                  <c:v>iskorišteno - m3</c:v>
                </c:pt>
                <c:pt idx="2">
                  <c:v>postotak</c:v>
                </c:pt>
              </c:strCache>
            </c:strRef>
          </c:cat>
          <c:val>
            <c:numRef>
              <c:f>List1!$G$19:$I$19</c:f>
              <c:numCache>
                <c:formatCode>#,##0</c:formatCode>
                <c:ptCount val="3"/>
                <c:pt idx="0">
                  <c:v>348000</c:v>
                </c:pt>
                <c:pt idx="1">
                  <c:v>116409</c:v>
                </c:pt>
                <c:pt idx="2">
                  <c:v>33.450862068965513</c:v>
                </c:pt>
              </c:numCache>
            </c:numRef>
          </c:val>
          <c:extLst>
            <c:ext xmlns:c16="http://schemas.microsoft.com/office/drawing/2014/chart" uri="{C3380CC4-5D6E-409C-BE32-E72D297353CC}">
              <c16:uniqueId val="{00000003-9422-4632-9C55-782BDE5AFD76}"/>
            </c:ext>
          </c:extLst>
        </c:ser>
        <c:dLbls>
          <c:showLegendKey val="0"/>
          <c:showVal val="0"/>
          <c:showCatName val="0"/>
          <c:showSerName val="0"/>
          <c:showPercent val="0"/>
          <c:showBubbleSize val="0"/>
        </c:dLbls>
        <c:gapWidth val="150"/>
        <c:axId val="524848272"/>
        <c:axId val="524846992"/>
      </c:barChart>
      <c:catAx>
        <c:axId val="524848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4846992"/>
        <c:crosses val="autoZero"/>
        <c:auto val="1"/>
        <c:lblAlgn val="ctr"/>
        <c:lblOffset val="100"/>
        <c:noMultiLvlLbl val="0"/>
      </c:catAx>
      <c:valAx>
        <c:axId val="52484699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24848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Kapacitet odlagališta 31.12.2019.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List5!$B$5</c:f>
              <c:strCache>
                <c:ptCount val="1"/>
                <c:pt idx="0">
                  <c:v>odloženo u godini</c:v>
                </c:pt>
              </c:strCache>
            </c:strRef>
          </c:tx>
          <c:spPr>
            <a:solidFill>
              <a:schemeClr val="accent1"/>
            </a:solidFill>
            <a:ln>
              <a:noFill/>
            </a:ln>
            <a:effectLst/>
            <a:sp3d/>
          </c:spPr>
          <c:invertIfNegative val="0"/>
          <c:cat>
            <c:numRef>
              <c:f>List5!$A$6:$A$11</c:f>
              <c:numCache>
                <c:formatCode>General</c:formatCode>
                <c:ptCount val="6"/>
                <c:pt idx="0">
                  <c:v>2014</c:v>
                </c:pt>
                <c:pt idx="1">
                  <c:v>2015</c:v>
                </c:pt>
                <c:pt idx="2">
                  <c:v>2016</c:v>
                </c:pt>
                <c:pt idx="3">
                  <c:v>2017</c:v>
                </c:pt>
                <c:pt idx="4">
                  <c:v>2018</c:v>
                </c:pt>
                <c:pt idx="5">
                  <c:v>2019</c:v>
                </c:pt>
              </c:numCache>
            </c:numRef>
          </c:cat>
          <c:val>
            <c:numRef>
              <c:f>List5!$B$6:$B$11</c:f>
              <c:numCache>
                <c:formatCode>#,##0</c:formatCode>
                <c:ptCount val="6"/>
                <c:pt idx="0">
                  <c:v>5481</c:v>
                </c:pt>
                <c:pt idx="1">
                  <c:v>25919</c:v>
                </c:pt>
                <c:pt idx="2">
                  <c:v>98254</c:v>
                </c:pt>
                <c:pt idx="3">
                  <c:v>78449</c:v>
                </c:pt>
                <c:pt idx="4">
                  <c:v>55392</c:v>
                </c:pt>
                <c:pt idx="5">
                  <c:v>35909</c:v>
                </c:pt>
              </c:numCache>
            </c:numRef>
          </c:val>
          <c:extLst>
            <c:ext xmlns:c16="http://schemas.microsoft.com/office/drawing/2014/chart" uri="{C3380CC4-5D6E-409C-BE32-E72D297353CC}">
              <c16:uniqueId val="{00000000-A18D-422F-8A42-BE51282B9805}"/>
            </c:ext>
          </c:extLst>
        </c:ser>
        <c:ser>
          <c:idx val="1"/>
          <c:order val="1"/>
          <c:tx>
            <c:strRef>
              <c:f>List5!$C$5</c:f>
              <c:strCache>
                <c:ptCount val="1"/>
                <c:pt idx="0">
                  <c:v>odloženo-kumulativ</c:v>
                </c:pt>
              </c:strCache>
            </c:strRef>
          </c:tx>
          <c:spPr>
            <a:solidFill>
              <a:schemeClr val="accent2"/>
            </a:solidFill>
            <a:ln>
              <a:noFill/>
            </a:ln>
            <a:effectLst/>
            <a:sp3d/>
          </c:spPr>
          <c:invertIfNegative val="0"/>
          <c:cat>
            <c:numRef>
              <c:f>List5!$A$6:$A$11</c:f>
              <c:numCache>
                <c:formatCode>General</c:formatCode>
                <c:ptCount val="6"/>
                <c:pt idx="0">
                  <c:v>2014</c:v>
                </c:pt>
                <c:pt idx="1">
                  <c:v>2015</c:v>
                </c:pt>
                <c:pt idx="2">
                  <c:v>2016</c:v>
                </c:pt>
                <c:pt idx="3">
                  <c:v>2017</c:v>
                </c:pt>
                <c:pt idx="4">
                  <c:v>2018</c:v>
                </c:pt>
                <c:pt idx="5">
                  <c:v>2019</c:v>
                </c:pt>
              </c:numCache>
            </c:numRef>
          </c:cat>
          <c:val>
            <c:numRef>
              <c:f>List5!$C$6:$C$11</c:f>
              <c:numCache>
                <c:formatCode>#,##0</c:formatCode>
                <c:ptCount val="6"/>
                <c:pt idx="0">
                  <c:v>5481</c:v>
                </c:pt>
                <c:pt idx="1">
                  <c:v>31400</c:v>
                </c:pt>
                <c:pt idx="2">
                  <c:v>129654</c:v>
                </c:pt>
                <c:pt idx="3">
                  <c:v>208103</c:v>
                </c:pt>
                <c:pt idx="4">
                  <c:v>263495</c:v>
                </c:pt>
                <c:pt idx="5">
                  <c:v>299404</c:v>
                </c:pt>
              </c:numCache>
            </c:numRef>
          </c:val>
          <c:extLst>
            <c:ext xmlns:c16="http://schemas.microsoft.com/office/drawing/2014/chart" uri="{C3380CC4-5D6E-409C-BE32-E72D297353CC}">
              <c16:uniqueId val="{00000001-A18D-422F-8A42-BE51282B9805}"/>
            </c:ext>
          </c:extLst>
        </c:ser>
        <c:ser>
          <c:idx val="2"/>
          <c:order val="2"/>
          <c:tx>
            <c:strRef>
              <c:f>List5!$D$5</c:f>
              <c:strCache>
                <c:ptCount val="1"/>
                <c:pt idx="0">
                  <c:v>preostali kapacitet</c:v>
                </c:pt>
              </c:strCache>
            </c:strRef>
          </c:tx>
          <c:spPr>
            <a:solidFill>
              <a:schemeClr val="accent3"/>
            </a:solidFill>
            <a:ln>
              <a:noFill/>
            </a:ln>
            <a:effectLst/>
            <a:sp3d/>
          </c:spPr>
          <c:invertIfNegative val="0"/>
          <c:cat>
            <c:numRef>
              <c:f>List5!$A$6:$A$11</c:f>
              <c:numCache>
                <c:formatCode>General</c:formatCode>
                <c:ptCount val="6"/>
                <c:pt idx="0">
                  <c:v>2014</c:v>
                </c:pt>
                <c:pt idx="1">
                  <c:v>2015</c:v>
                </c:pt>
                <c:pt idx="2">
                  <c:v>2016</c:v>
                </c:pt>
                <c:pt idx="3">
                  <c:v>2017</c:v>
                </c:pt>
                <c:pt idx="4">
                  <c:v>2018</c:v>
                </c:pt>
                <c:pt idx="5">
                  <c:v>2019</c:v>
                </c:pt>
              </c:numCache>
            </c:numRef>
          </c:cat>
          <c:val>
            <c:numRef>
              <c:f>List5!$D$6:$D$11</c:f>
              <c:numCache>
                <c:formatCode>#,##0</c:formatCode>
                <c:ptCount val="6"/>
                <c:pt idx="0">
                  <c:v>414019</c:v>
                </c:pt>
                <c:pt idx="1">
                  <c:v>388100</c:v>
                </c:pt>
                <c:pt idx="2">
                  <c:v>289846</c:v>
                </c:pt>
                <c:pt idx="3">
                  <c:v>211397</c:v>
                </c:pt>
                <c:pt idx="4">
                  <c:v>156005</c:v>
                </c:pt>
                <c:pt idx="5">
                  <c:v>120096</c:v>
                </c:pt>
              </c:numCache>
            </c:numRef>
          </c:val>
          <c:extLst>
            <c:ext xmlns:c16="http://schemas.microsoft.com/office/drawing/2014/chart" uri="{C3380CC4-5D6E-409C-BE32-E72D297353CC}">
              <c16:uniqueId val="{00000002-A18D-422F-8A42-BE51282B9805}"/>
            </c:ext>
          </c:extLst>
        </c:ser>
        <c:ser>
          <c:idx val="3"/>
          <c:order val="3"/>
          <c:tx>
            <c:strRef>
              <c:f>List5!$E$5</c:f>
              <c:strCache>
                <c:ptCount val="1"/>
                <c:pt idx="0">
                  <c:v>odobreni kapacitet</c:v>
                </c:pt>
              </c:strCache>
            </c:strRef>
          </c:tx>
          <c:spPr>
            <a:solidFill>
              <a:schemeClr val="accent4"/>
            </a:solidFill>
            <a:ln>
              <a:noFill/>
            </a:ln>
            <a:effectLst/>
            <a:sp3d/>
          </c:spPr>
          <c:invertIfNegative val="0"/>
          <c:cat>
            <c:numRef>
              <c:f>List5!$A$6:$A$11</c:f>
              <c:numCache>
                <c:formatCode>General</c:formatCode>
                <c:ptCount val="6"/>
                <c:pt idx="0">
                  <c:v>2014</c:v>
                </c:pt>
                <c:pt idx="1">
                  <c:v>2015</c:v>
                </c:pt>
                <c:pt idx="2">
                  <c:v>2016</c:v>
                </c:pt>
                <c:pt idx="3">
                  <c:v>2017</c:v>
                </c:pt>
                <c:pt idx="4">
                  <c:v>2018</c:v>
                </c:pt>
                <c:pt idx="5">
                  <c:v>2019</c:v>
                </c:pt>
              </c:numCache>
            </c:numRef>
          </c:cat>
          <c:val>
            <c:numRef>
              <c:f>List5!$E$6:$E$11</c:f>
              <c:numCache>
                <c:formatCode>General</c:formatCode>
                <c:ptCount val="6"/>
                <c:pt idx="0" formatCode="#,##0">
                  <c:v>419500</c:v>
                </c:pt>
              </c:numCache>
            </c:numRef>
          </c:val>
          <c:extLst>
            <c:ext xmlns:c16="http://schemas.microsoft.com/office/drawing/2014/chart" uri="{C3380CC4-5D6E-409C-BE32-E72D297353CC}">
              <c16:uniqueId val="{00000003-A18D-422F-8A42-BE51282B9805}"/>
            </c:ext>
          </c:extLst>
        </c:ser>
        <c:dLbls>
          <c:showLegendKey val="0"/>
          <c:showVal val="0"/>
          <c:showCatName val="0"/>
          <c:showSerName val="0"/>
          <c:showPercent val="0"/>
          <c:showBubbleSize val="0"/>
        </c:dLbls>
        <c:gapWidth val="150"/>
        <c:shape val="box"/>
        <c:axId val="494386128"/>
        <c:axId val="494385808"/>
        <c:axId val="0"/>
      </c:bar3DChart>
      <c:catAx>
        <c:axId val="494386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4385808"/>
        <c:crosses val="autoZero"/>
        <c:auto val="1"/>
        <c:lblAlgn val="ctr"/>
        <c:lblOffset val="100"/>
        <c:noMultiLvlLbl val="0"/>
      </c:catAx>
      <c:valAx>
        <c:axId val="494385808"/>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943861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666</Words>
  <Characters>3802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Blažok</dc:creator>
  <cp:keywords/>
  <dc:description/>
  <cp:lastModifiedBy>KORISNIK</cp:lastModifiedBy>
  <cp:revision>3</cp:revision>
  <dcterms:created xsi:type="dcterms:W3CDTF">2020-07-30T08:10:00Z</dcterms:created>
  <dcterms:modified xsi:type="dcterms:W3CDTF">2020-07-30T08:21:00Z</dcterms:modified>
</cp:coreProperties>
</file>